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b w:val="1"/>
          <w:sz w:val="24"/>
          <w:szCs w:val="24"/>
          <w:highlight w:val="white"/>
        </w:rPr>
      </w:pPr>
      <w:r w:rsidDel="00000000" w:rsidR="00000000" w:rsidRPr="00000000">
        <w:rPr>
          <w:b w:val="1"/>
          <w:sz w:val="24"/>
          <w:szCs w:val="24"/>
          <w:highlight w:val="white"/>
          <w:rtl w:val="0"/>
        </w:rPr>
        <w:t xml:space="preserve">À PRÓ-REITORIA DE GESTÃO DE PESSOAS DA UNIVERSIDADE FEDERAL DE JUIZ DE FORA</w:t>
      </w:r>
    </w:p>
    <w:p w:rsidR="00000000" w:rsidDel="00000000" w:rsidP="00000000" w:rsidRDefault="00000000" w:rsidRPr="00000000" w14:paraId="00000002">
      <w:pPr>
        <w:spacing w:after="240" w:before="240"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03">
      <w:pPr>
        <w:spacing w:after="240" w:before="240" w:line="360" w:lineRule="auto"/>
        <w:jc w:val="both"/>
        <w:rPr>
          <w:sz w:val="24"/>
          <w:szCs w:val="24"/>
          <w:highlight w:val="white"/>
        </w:rPr>
      </w:pPr>
      <w:r w:rsidDel="00000000" w:rsidR="00000000" w:rsidRPr="00000000">
        <w:rPr>
          <w:sz w:val="24"/>
          <w:szCs w:val="24"/>
          <w:highlight w:val="white"/>
          <w:rtl w:val="0"/>
        </w:rPr>
        <w:t xml:space="preserve">N° do processo</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_________________________</w:t>
      </w:r>
      <w:r w:rsidDel="00000000" w:rsidR="00000000" w:rsidRPr="00000000">
        <w:rPr>
          <w:rtl w:val="0"/>
        </w:rPr>
      </w:r>
    </w:p>
    <w:p w:rsidR="00000000" w:rsidDel="00000000" w:rsidP="00000000" w:rsidRDefault="00000000" w:rsidRPr="00000000" w14:paraId="00000004">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5">
      <w:pPr>
        <w:spacing w:after="240" w:before="240" w:line="360" w:lineRule="auto"/>
        <w:jc w:val="both"/>
        <w:rPr>
          <w:sz w:val="24"/>
          <w:szCs w:val="24"/>
        </w:rPr>
      </w:pPr>
      <w:r w:rsidDel="00000000" w:rsidR="00000000" w:rsidRPr="00000000">
        <w:rPr>
          <w:sz w:val="24"/>
          <w:szCs w:val="24"/>
          <w:rtl w:val="0"/>
        </w:rPr>
        <w:t xml:space="preserve">__________________________________________________, cujo CPF é ________________________</w:t>
      </w:r>
      <w:r w:rsidDel="00000000" w:rsidR="00000000" w:rsidRPr="00000000">
        <w:rPr>
          <w:b w:val="1"/>
          <w:sz w:val="24"/>
          <w:szCs w:val="24"/>
          <w:rtl w:val="0"/>
        </w:rPr>
        <w:t xml:space="preserve"> </w:t>
      </w:r>
      <w:r w:rsidDel="00000000" w:rsidR="00000000" w:rsidRPr="00000000">
        <w:rPr>
          <w:sz w:val="24"/>
          <w:szCs w:val="24"/>
          <w:rtl w:val="0"/>
        </w:rPr>
        <w:t xml:space="preserve">servidor(a) técnico-administrativo(a) aposentado (a) desta Universidade, vem, respeitosamente, apresentar a presente </w:t>
      </w:r>
      <w:r w:rsidDel="00000000" w:rsidR="00000000" w:rsidRPr="00000000">
        <w:rPr>
          <w:b w:val="1"/>
          <w:sz w:val="24"/>
          <w:szCs w:val="24"/>
          <w:u w:val="single"/>
          <w:rtl w:val="0"/>
        </w:rPr>
        <w:t xml:space="preserve">MANIFESTAÇÃO</w:t>
      </w:r>
      <w:r w:rsidDel="00000000" w:rsidR="00000000" w:rsidRPr="00000000">
        <w:rPr>
          <w:sz w:val="24"/>
          <w:szCs w:val="24"/>
          <w:rtl w:val="0"/>
        </w:rPr>
        <w:t xml:space="preserve"> contra a decisão ou comunicação de supressão da parcela remuneratória prevista no art. 15 da Lei nº 11.091/2005, com base no que se segue:</w:t>
      </w:r>
    </w:p>
    <w:p w:rsidR="00000000" w:rsidDel="00000000" w:rsidP="00000000" w:rsidRDefault="00000000" w:rsidRPr="00000000" w14:paraId="00000006">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07">
      <w:pPr>
        <w:spacing w:after="240" w:before="240" w:line="360" w:lineRule="auto"/>
        <w:jc w:val="both"/>
        <w:rPr>
          <w:sz w:val="24"/>
          <w:szCs w:val="24"/>
        </w:rPr>
      </w:pPr>
      <w:r w:rsidDel="00000000" w:rsidR="00000000" w:rsidRPr="00000000">
        <w:rPr>
          <w:sz w:val="24"/>
          <w:szCs w:val="24"/>
          <w:rtl w:val="0"/>
        </w:rPr>
        <w:t xml:space="preserve">O(a) manifestante é servidor(a) inativo(a) desta instituição e percebe, há mais de 10 (dez) anos, a parcela prevista no art. 15 da Lei nº 11.091/2005, sem qualquer interrupção ou questionamento por parte da Administração. Trata-se de verba de caráter remuneratório reconhecida em conformidade com os normativos legais vigentes à época da sua implantação.</w:t>
      </w:r>
    </w:p>
    <w:p w:rsidR="00000000" w:rsidDel="00000000" w:rsidP="00000000" w:rsidRDefault="00000000" w:rsidRPr="00000000" w14:paraId="00000008">
      <w:pPr>
        <w:spacing w:after="240" w:before="240" w:line="360" w:lineRule="auto"/>
        <w:jc w:val="both"/>
        <w:rPr>
          <w:sz w:val="24"/>
          <w:szCs w:val="24"/>
        </w:rPr>
      </w:pPr>
      <w:r w:rsidDel="00000000" w:rsidR="00000000" w:rsidRPr="00000000">
        <w:rPr>
          <w:sz w:val="24"/>
          <w:szCs w:val="24"/>
          <w:rtl w:val="0"/>
        </w:rPr>
        <w:t xml:space="preserve">Recentemente, foi comunicado da iminente supressão da referida parcela, com fundamento em decisão proferida pelo Tribunal de Contas da União (TCU), sem que tenha sido fornecida motivação específica, individualizada ou oportunidade de contraditório e ampla defesa.</w:t>
      </w:r>
    </w:p>
    <w:p w:rsidR="00000000" w:rsidDel="00000000" w:rsidP="00000000" w:rsidRDefault="00000000" w:rsidRPr="00000000" w14:paraId="00000009">
      <w:pPr>
        <w:numPr>
          <w:ilvl w:val="0"/>
          <w:numId w:val="2"/>
        </w:numPr>
        <w:spacing w:after="240" w:before="240" w:line="360" w:lineRule="auto"/>
        <w:ind w:left="720" w:hanging="360"/>
        <w:jc w:val="both"/>
        <w:rPr>
          <w:b w:val="1"/>
          <w:sz w:val="24"/>
          <w:szCs w:val="24"/>
        </w:rPr>
      </w:pPr>
      <w:r w:rsidDel="00000000" w:rsidR="00000000" w:rsidRPr="00000000">
        <w:rPr>
          <w:b w:val="1"/>
          <w:sz w:val="24"/>
          <w:szCs w:val="24"/>
          <w:u w:val="single"/>
          <w:rtl w:val="0"/>
        </w:rPr>
        <w:t xml:space="preserve">Do respeito ao direito adquirido</w:t>
      </w:r>
    </w:p>
    <w:p w:rsidR="00000000" w:rsidDel="00000000" w:rsidP="00000000" w:rsidRDefault="00000000" w:rsidRPr="00000000" w14:paraId="0000000A">
      <w:pPr>
        <w:spacing w:after="240" w:before="240" w:line="360" w:lineRule="auto"/>
        <w:jc w:val="both"/>
        <w:rPr>
          <w:sz w:val="24"/>
          <w:szCs w:val="24"/>
        </w:rPr>
      </w:pPr>
      <w:r w:rsidDel="00000000" w:rsidR="00000000" w:rsidRPr="00000000">
        <w:rPr>
          <w:sz w:val="24"/>
          <w:szCs w:val="24"/>
          <w:rtl w:val="0"/>
        </w:rPr>
        <w:t xml:space="preserve">Nos termos do art. 23 da Lei de Introdução às Normas do Direito Brasileiro (LINDB), as decisões administrativas que impliquem revisão de entendimentos consolidados devem conter análise expressa sobre as consequências jurídicas e administrativas da nova interpretação e prever regime de transição quando implicarem ônus desproporcional ao destinatário.</w:t>
      </w:r>
    </w:p>
    <w:p w:rsidR="00000000" w:rsidDel="00000000" w:rsidP="00000000" w:rsidRDefault="00000000" w:rsidRPr="00000000" w14:paraId="0000000B">
      <w:pPr>
        <w:spacing w:after="240" w:before="240" w:line="360" w:lineRule="auto"/>
        <w:jc w:val="both"/>
        <w:rPr>
          <w:sz w:val="24"/>
          <w:szCs w:val="24"/>
        </w:rPr>
      </w:pPr>
      <w:r w:rsidDel="00000000" w:rsidR="00000000" w:rsidRPr="00000000">
        <w:rPr>
          <w:sz w:val="24"/>
          <w:szCs w:val="24"/>
          <w:rtl w:val="0"/>
        </w:rPr>
        <w:t xml:space="preserve">Além disso, a supressão abrupta de verba percebida há mais de uma década, com base em mudança de entendimento do TCU, viola o princípio da proteção à confiança legítima e da segurança jurídica, pilares da LINDB e da própria Constituição Federal.</w:t>
      </w:r>
    </w:p>
    <w:p w:rsidR="00000000" w:rsidDel="00000000" w:rsidP="00000000" w:rsidRDefault="00000000" w:rsidRPr="00000000" w14:paraId="0000000C">
      <w:pPr>
        <w:spacing w:after="240" w:before="240" w:line="360" w:lineRule="auto"/>
        <w:jc w:val="both"/>
        <w:rPr>
          <w:sz w:val="24"/>
          <w:szCs w:val="24"/>
        </w:rPr>
      </w:pPr>
      <w:r w:rsidDel="00000000" w:rsidR="00000000" w:rsidRPr="00000000">
        <w:rPr>
          <w:sz w:val="24"/>
          <w:szCs w:val="24"/>
          <w:rtl w:val="0"/>
        </w:rPr>
        <w:t xml:space="preserve">Importante destacar que o entendimento atual das cortes superiores reconhece que não é possível desconstituir situação consolidada no tempo em prejuízo do(a) servidor(a), sem previsão de transição ou compensação.</w:t>
      </w:r>
    </w:p>
    <w:p w:rsidR="00000000" w:rsidDel="00000000" w:rsidP="00000000" w:rsidRDefault="00000000" w:rsidRPr="00000000" w14:paraId="0000000D">
      <w:pPr>
        <w:numPr>
          <w:ilvl w:val="0"/>
          <w:numId w:val="2"/>
        </w:numPr>
        <w:spacing w:after="240" w:before="240" w:line="360" w:lineRule="auto"/>
        <w:ind w:left="720" w:hanging="360"/>
        <w:jc w:val="both"/>
        <w:rPr>
          <w:b w:val="1"/>
          <w:sz w:val="24"/>
          <w:szCs w:val="24"/>
        </w:rPr>
      </w:pPr>
      <w:r w:rsidDel="00000000" w:rsidR="00000000" w:rsidRPr="00000000">
        <w:rPr>
          <w:b w:val="1"/>
          <w:sz w:val="24"/>
          <w:szCs w:val="24"/>
          <w:u w:val="single"/>
          <w:rtl w:val="0"/>
        </w:rPr>
        <w:t xml:space="preserve">Da prescrição administrativa e obscuridade na comunicação</w:t>
      </w:r>
    </w:p>
    <w:p w:rsidR="00000000" w:rsidDel="00000000" w:rsidP="00000000" w:rsidRDefault="00000000" w:rsidRPr="00000000" w14:paraId="0000000E">
      <w:pPr>
        <w:spacing w:after="240" w:before="240" w:line="360" w:lineRule="auto"/>
        <w:jc w:val="both"/>
        <w:rPr>
          <w:sz w:val="24"/>
          <w:szCs w:val="24"/>
        </w:rPr>
      </w:pPr>
      <w:r w:rsidDel="00000000" w:rsidR="00000000" w:rsidRPr="00000000">
        <w:rPr>
          <w:sz w:val="24"/>
          <w:szCs w:val="24"/>
          <w:rtl w:val="0"/>
        </w:rPr>
        <w:t xml:space="preserve">Ademais, nos termos do art. 54 da Lei nº 9.784/1999, a Administração Pública possui o prazo de 5 anos para anular atos que beneficiem o(a) servidor(a), contado da data em que foram praticados, salvo comprovada má-fé.</w:t>
      </w:r>
    </w:p>
    <w:p w:rsidR="00000000" w:rsidDel="00000000" w:rsidP="00000000" w:rsidRDefault="00000000" w:rsidRPr="00000000" w14:paraId="0000000F">
      <w:pPr>
        <w:spacing w:after="240" w:before="240" w:line="360" w:lineRule="auto"/>
        <w:jc w:val="both"/>
        <w:rPr>
          <w:sz w:val="24"/>
          <w:szCs w:val="24"/>
        </w:rPr>
      </w:pPr>
      <w:r w:rsidDel="00000000" w:rsidR="00000000" w:rsidRPr="00000000">
        <w:rPr>
          <w:sz w:val="24"/>
          <w:szCs w:val="24"/>
          <w:rtl w:val="0"/>
        </w:rPr>
        <w:t xml:space="preserve">No caso, a parcela vem sendo paga há mais de 10 anos de forma contínua, pública e legítima, não havendo qualquer demonstração de má-fé ou irregularidade praticada pelo(a) servidor(a). Assim, encontra-se decaído o direito da Administração de anular o ato concessivo, sendo indevida sua supressão neste momento.</w:t>
      </w:r>
    </w:p>
    <w:p w:rsidR="00000000" w:rsidDel="00000000" w:rsidP="00000000" w:rsidRDefault="00000000" w:rsidRPr="00000000" w14:paraId="00000010">
      <w:pPr>
        <w:spacing w:after="240" w:before="240" w:line="360" w:lineRule="auto"/>
        <w:jc w:val="both"/>
        <w:rPr>
          <w:sz w:val="24"/>
          <w:szCs w:val="24"/>
        </w:rPr>
      </w:pPr>
      <w:r w:rsidDel="00000000" w:rsidR="00000000" w:rsidRPr="00000000">
        <w:rPr>
          <w:sz w:val="24"/>
          <w:szCs w:val="24"/>
          <w:rtl w:val="0"/>
        </w:rPr>
        <w:t xml:space="preserve">Ainda, a comunicação de retirada da verba não indicou com precisão a origem, os fundamentos normativos e a motivação específica aplicável ao caso concreto do(a) servidor(a) manifestante. Tal ausência de fundamentação ofende o art. 50 da Lei nº 9.784/1999 e os princípios constitucionais do devido processo legal e da motivação dos atos administrativos. O(a) servidor(a) somente recebeu uma comunicação superficial simples e uniforme, que não explicou os motivos pelos quais a parcela está sendo retirada.</w:t>
      </w:r>
    </w:p>
    <w:p w:rsidR="00000000" w:rsidDel="00000000" w:rsidP="00000000" w:rsidRDefault="00000000" w:rsidRPr="00000000" w14:paraId="00000011">
      <w:pPr>
        <w:spacing w:after="240" w:before="240" w:line="360" w:lineRule="auto"/>
        <w:jc w:val="both"/>
        <w:rPr>
          <w:sz w:val="24"/>
          <w:szCs w:val="24"/>
        </w:rPr>
      </w:pPr>
      <w:r w:rsidDel="00000000" w:rsidR="00000000" w:rsidRPr="00000000">
        <w:rPr>
          <w:sz w:val="24"/>
          <w:szCs w:val="24"/>
          <w:rtl w:val="0"/>
        </w:rPr>
        <w:t xml:space="preserve">Além disso, a exclusão súbita da parcela compromete substancialmente a subsistência do(a) servidor(a), uma vez que representa redução significativa de sua remuneração mensal, o que compromete seu planejamento financeiro e familiar, construído com base na confiança legítima de continuidade da parcela percebida por tanto tempo.</w:t>
      </w:r>
    </w:p>
    <w:p w:rsidR="00000000" w:rsidDel="00000000" w:rsidP="00000000" w:rsidRDefault="00000000" w:rsidRPr="00000000" w14:paraId="00000012">
      <w:pPr>
        <w:numPr>
          <w:ilvl w:val="0"/>
          <w:numId w:val="2"/>
        </w:numPr>
        <w:spacing w:after="240" w:before="240" w:line="360" w:lineRule="auto"/>
        <w:ind w:left="720" w:hanging="360"/>
        <w:jc w:val="both"/>
        <w:rPr>
          <w:b w:val="1"/>
          <w:sz w:val="24"/>
          <w:szCs w:val="24"/>
        </w:rPr>
      </w:pPr>
      <w:r w:rsidDel="00000000" w:rsidR="00000000" w:rsidRPr="00000000">
        <w:rPr>
          <w:b w:val="1"/>
          <w:sz w:val="24"/>
          <w:szCs w:val="24"/>
          <w:u w:val="single"/>
          <w:rtl w:val="0"/>
        </w:rPr>
        <w:t xml:space="preserve">Do descumprimento do acordo de greve</w:t>
      </w:r>
    </w:p>
    <w:p w:rsidR="00000000" w:rsidDel="00000000" w:rsidP="00000000" w:rsidRDefault="00000000" w:rsidRPr="00000000" w14:paraId="00000013">
      <w:pPr>
        <w:spacing w:after="240" w:before="240" w:line="360" w:lineRule="auto"/>
        <w:jc w:val="both"/>
        <w:rPr>
          <w:sz w:val="24"/>
          <w:szCs w:val="24"/>
        </w:rPr>
      </w:pPr>
      <w:r w:rsidDel="00000000" w:rsidR="00000000" w:rsidRPr="00000000">
        <w:rPr>
          <w:sz w:val="24"/>
          <w:szCs w:val="24"/>
          <w:rtl w:val="0"/>
        </w:rPr>
        <w:t xml:space="preserve">Nas últimas greves realizadas pela categoria dos TAE, foram firmados acordos, desde 2012, que garantiram que a parcela do VBC não seria absorvida.</w:t>
      </w:r>
    </w:p>
    <w:p w:rsidR="00000000" w:rsidDel="00000000" w:rsidP="00000000" w:rsidRDefault="00000000" w:rsidRPr="00000000" w14:paraId="00000014">
      <w:pPr>
        <w:spacing w:after="240" w:before="240" w:line="360" w:lineRule="auto"/>
        <w:jc w:val="both"/>
        <w:rPr>
          <w:sz w:val="24"/>
          <w:szCs w:val="24"/>
        </w:rPr>
      </w:pPr>
      <w:r w:rsidDel="00000000" w:rsidR="00000000" w:rsidRPr="00000000">
        <w:rPr>
          <w:sz w:val="24"/>
          <w:szCs w:val="24"/>
          <w:rtl w:val="0"/>
        </w:rPr>
        <w:t xml:space="preserve">Entretanto, o TCU parece haver excluído esse acordo firmado com o governo federal, pois é resultado do movimento paredista a manutenção do VBC, constituindo verdadeiro cenário de insegurança jurídica a retirada de desta parcela.</w:t>
      </w:r>
    </w:p>
    <w:p w:rsidR="00000000" w:rsidDel="00000000" w:rsidP="00000000" w:rsidRDefault="00000000" w:rsidRPr="00000000" w14:paraId="00000015">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6">
      <w:pPr>
        <w:spacing w:after="240" w:before="240" w:line="360" w:lineRule="auto"/>
        <w:rPr>
          <w:sz w:val="24"/>
          <w:szCs w:val="24"/>
        </w:rPr>
      </w:pPr>
      <w:r w:rsidDel="00000000" w:rsidR="00000000" w:rsidRPr="00000000">
        <w:rPr>
          <w:sz w:val="24"/>
          <w:szCs w:val="24"/>
          <w:rtl w:val="0"/>
        </w:rPr>
        <w:t xml:space="preserve">Diante de todo o exposto, requer-se:</w:t>
      </w:r>
    </w:p>
    <w:p w:rsidR="00000000" w:rsidDel="00000000" w:rsidP="00000000" w:rsidRDefault="00000000" w:rsidRPr="00000000" w14:paraId="00000017">
      <w:pPr>
        <w:numPr>
          <w:ilvl w:val="0"/>
          <w:numId w:val="1"/>
        </w:numPr>
        <w:spacing w:line="276" w:lineRule="auto"/>
        <w:ind w:left="720" w:hanging="360"/>
        <w:jc w:val="both"/>
        <w:rPr>
          <w:sz w:val="24"/>
          <w:szCs w:val="24"/>
        </w:rPr>
      </w:pPr>
      <w:r w:rsidDel="00000000" w:rsidR="00000000" w:rsidRPr="00000000">
        <w:rPr>
          <w:sz w:val="24"/>
          <w:szCs w:val="24"/>
          <w:rtl w:val="0"/>
        </w:rPr>
        <w:t xml:space="preserve">O recebimento e o conhecimento deste recurso administrativo;</w:t>
        <w:br w:type="textWrapping"/>
      </w:r>
    </w:p>
    <w:p w:rsidR="00000000" w:rsidDel="00000000" w:rsidP="00000000" w:rsidRDefault="00000000" w:rsidRPr="00000000" w14:paraId="00000018">
      <w:pPr>
        <w:numPr>
          <w:ilvl w:val="0"/>
          <w:numId w:val="1"/>
        </w:numPr>
        <w:spacing w:line="276" w:lineRule="auto"/>
        <w:ind w:left="720" w:hanging="360"/>
        <w:jc w:val="both"/>
        <w:rPr>
          <w:sz w:val="24"/>
          <w:szCs w:val="24"/>
        </w:rPr>
      </w:pPr>
      <w:r w:rsidDel="00000000" w:rsidR="00000000" w:rsidRPr="00000000">
        <w:rPr>
          <w:sz w:val="24"/>
          <w:szCs w:val="24"/>
          <w:rtl w:val="0"/>
        </w:rPr>
        <w:t xml:space="preserve">A suspensão imediata de qualquer medida tendente à supressão da parcela remuneratória prevista no art. 15 da Lei nº 11.091/2005;</w:t>
        <w:br w:type="textWrapping"/>
      </w:r>
    </w:p>
    <w:p w:rsidR="00000000" w:rsidDel="00000000" w:rsidP="00000000" w:rsidRDefault="00000000" w:rsidRPr="00000000" w14:paraId="00000019">
      <w:pPr>
        <w:numPr>
          <w:ilvl w:val="0"/>
          <w:numId w:val="1"/>
        </w:numPr>
        <w:spacing w:line="276" w:lineRule="auto"/>
        <w:ind w:left="720" w:hanging="360"/>
        <w:jc w:val="both"/>
        <w:rPr>
          <w:sz w:val="24"/>
          <w:szCs w:val="24"/>
        </w:rPr>
      </w:pPr>
      <w:r w:rsidDel="00000000" w:rsidR="00000000" w:rsidRPr="00000000">
        <w:rPr>
          <w:sz w:val="24"/>
          <w:szCs w:val="24"/>
          <w:rtl w:val="0"/>
        </w:rPr>
        <w:t xml:space="preserve">A manutenção do pagamento da verba, tendo em vista a consolidação da situação jurídica, a prescrição administrativa, a ausência de má-fé e a necessidade de respeito ao princípio da confiança legítima e à segurança jurídica;</w:t>
        <w:br w:type="textWrapping"/>
      </w:r>
    </w:p>
    <w:p w:rsidR="00000000" w:rsidDel="00000000" w:rsidP="00000000" w:rsidRDefault="00000000" w:rsidRPr="00000000" w14:paraId="0000001A">
      <w:pPr>
        <w:numPr>
          <w:ilvl w:val="0"/>
          <w:numId w:val="1"/>
        </w:numPr>
        <w:spacing w:line="276" w:lineRule="auto"/>
        <w:ind w:left="720" w:hanging="360"/>
        <w:jc w:val="both"/>
        <w:rPr>
          <w:sz w:val="24"/>
          <w:szCs w:val="24"/>
        </w:rPr>
      </w:pPr>
      <w:r w:rsidDel="00000000" w:rsidR="00000000" w:rsidRPr="00000000">
        <w:rPr>
          <w:sz w:val="24"/>
          <w:szCs w:val="24"/>
          <w:rtl w:val="0"/>
        </w:rPr>
        <w:t xml:space="preserve">Caso mantida a decisão de supressão, que seja instaurado procedimento individualizado, assegurado o contraditório e ampla defesa, bem como a instituição de regime de transição que </w:t>
      </w:r>
      <w:r w:rsidDel="00000000" w:rsidR="00000000" w:rsidRPr="00000000">
        <w:rPr>
          <w:sz w:val="24"/>
          <w:szCs w:val="24"/>
          <w:rtl w:val="0"/>
        </w:rPr>
        <w:t xml:space="preserve">mitigue</w:t>
      </w:r>
      <w:r w:rsidDel="00000000" w:rsidR="00000000" w:rsidRPr="00000000">
        <w:rPr>
          <w:sz w:val="24"/>
          <w:szCs w:val="24"/>
          <w:rtl w:val="0"/>
        </w:rPr>
        <w:t xml:space="preserve"> os impactos financeiros e pessoais o(à) servidor(a);</w:t>
      </w:r>
    </w:p>
    <w:p w:rsidR="00000000" w:rsidDel="00000000" w:rsidP="00000000" w:rsidRDefault="00000000" w:rsidRPr="00000000" w14:paraId="0000001B">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jc w:val="both"/>
        <w:rPr>
          <w:sz w:val="24"/>
          <w:szCs w:val="24"/>
        </w:rPr>
      </w:pPr>
      <w:r w:rsidDel="00000000" w:rsidR="00000000" w:rsidRPr="00000000">
        <w:rPr>
          <w:sz w:val="24"/>
          <w:szCs w:val="24"/>
          <w:rtl w:val="0"/>
        </w:rPr>
        <w:t xml:space="preserve">Que as comunicações relativas a esse procedimento sejam feitas por meio do contato:  ______________________________________</w:t>
      </w:r>
    </w:p>
    <w:p w:rsidR="00000000" w:rsidDel="00000000" w:rsidP="00000000" w:rsidRDefault="00000000" w:rsidRPr="00000000" w14:paraId="0000001D">
      <w:pPr>
        <w:spacing w:line="276" w:lineRule="auto"/>
        <w:jc w:val="both"/>
        <w:rPr>
          <w:sz w:val="24"/>
          <w:szCs w:val="24"/>
        </w:rPr>
      </w:pPr>
      <w:r w:rsidDel="00000000" w:rsidR="00000000" w:rsidRPr="00000000">
        <w:rPr>
          <w:rtl w:val="0"/>
        </w:rPr>
      </w:r>
    </w:p>
    <w:p w:rsidR="00000000" w:rsidDel="00000000" w:rsidP="00000000" w:rsidRDefault="00000000" w:rsidRPr="00000000" w14:paraId="0000001E">
      <w:pPr>
        <w:spacing w:line="276"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jc w:val="center"/>
        <w:rPr>
          <w:sz w:val="24"/>
          <w:szCs w:val="24"/>
        </w:rPr>
      </w:pPr>
      <w:r w:rsidDel="00000000" w:rsidR="00000000" w:rsidRPr="00000000">
        <w:rPr>
          <w:sz w:val="24"/>
          <w:szCs w:val="24"/>
          <w:rtl w:val="0"/>
        </w:rPr>
        <w:t xml:space="preserve">Juiz de Fora, _____ de _______________ de ______</w:t>
      </w:r>
    </w:p>
    <w:p w:rsidR="00000000" w:rsidDel="00000000" w:rsidP="00000000" w:rsidRDefault="00000000" w:rsidRPr="00000000" w14:paraId="00000021">
      <w:pPr>
        <w:spacing w:line="360" w:lineRule="auto"/>
        <w:jc w:val="center"/>
        <w:rPr>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jc w:val="center"/>
        <w:rPr>
          <w:sz w:val="24"/>
          <w:szCs w:val="24"/>
        </w:rPr>
      </w:pPr>
      <w:r w:rsidDel="00000000" w:rsidR="00000000" w:rsidRPr="00000000">
        <w:rPr>
          <w:sz w:val="24"/>
          <w:szCs w:val="24"/>
          <w:rtl w:val="0"/>
        </w:rPr>
        <w:t xml:space="preserve">__________________________________</w:t>
      </w:r>
    </w:p>
    <w:p w:rsidR="00000000" w:rsidDel="00000000" w:rsidP="00000000" w:rsidRDefault="00000000" w:rsidRPr="00000000" w14:paraId="00000023">
      <w:pPr>
        <w:spacing w:after="140" w:line="360" w:lineRule="auto"/>
        <w:ind w:right="80"/>
        <w:jc w:val="center"/>
        <w:rPr>
          <w:sz w:val="24"/>
          <w:szCs w:val="24"/>
        </w:rPr>
      </w:pPr>
      <w:r w:rsidDel="00000000" w:rsidR="00000000" w:rsidRPr="00000000">
        <w:rPr>
          <w:rtl w:val="0"/>
        </w:rPr>
      </w:r>
    </w:p>
    <w:sectPr>
      <w:headerReference r:id="rId7" w:type="default"/>
      <w:footerReference r:id="rId8" w:type="default"/>
      <w:pgSz w:h="16840" w:w="11910" w:orient="portrait"/>
      <w:pgMar w:bottom="1940" w:top="3119" w:left="1320" w:right="1300" w:header="720" w:footer="22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4"/>
        <w:szCs w:val="24"/>
      </w:rPr>
      <w:drawing>
        <wp:anchor allowOverlap="1" behindDoc="1" distB="0" distT="0" distL="0" distR="0" hidden="0" layoutInCell="1" locked="0" relativeHeight="0" simplePos="0">
          <wp:simplePos x="0" y="0"/>
          <wp:positionH relativeFrom="page">
            <wp:posOffset>905510</wp:posOffset>
          </wp:positionH>
          <wp:positionV relativeFrom="page">
            <wp:posOffset>452899</wp:posOffset>
          </wp:positionV>
          <wp:extent cx="5754370" cy="29209"/>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4370" cy="29209"/>
                  </a:xfrm>
                  <a:prstGeom prst="rect"/>
                  <a:ln/>
                </pic:spPr>
              </pic:pic>
            </a:graphicData>
          </a:graphic>
        </wp:anchor>
      </w:drawing>
    </w:r>
    <w:r w:rsidDel="00000000" w:rsidR="00000000" w:rsidRPr="00000000">
      <w:rPr>
        <w:color w:val="000000"/>
        <w:sz w:val="24"/>
        <w:szCs w:val="24"/>
      </w:rPr>
      <w:drawing>
        <wp:anchor allowOverlap="1" behindDoc="1" distB="0" distT="0" distL="0" distR="0" hidden="0" layoutInCell="1" locked="0" relativeHeight="0" simplePos="0">
          <wp:simplePos x="0" y="0"/>
          <wp:positionH relativeFrom="page">
            <wp:posOffset>1012188</wp:posOffset>
          </wp:positionH>
          <wp:positionV relativeFrom="page">
            <wp:posOffset>725949</wp:posOffset>
          </wp:positionV>
          <wp:extent cx="673099" cy="1033779"/>
          <wp:effectExtent b="0" l="0" r="0" t="0"/>
          <wp:wrapNone/>
          <wp:docPr id="1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73099" cy="103377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Refdecomentrio">
    <w:name w:val="annotation reference"/>
    <w:basedOn w:val="Fontepargpadro"/>
    <w:uiPriority w:val="99"/>
    <w:semiHidden w:val="1"/>
    <w:unhideWhenUsed w:val="1"/>
    <w:rsid w:val="00D46F43"/>
    <w:rPr>
      <w:sz w:val="16"/>
      <w:szCs w:val="16"/>
    </w:rPr>
  </w:style>
  <w:style w:type="paragraph" w:styleId="Textodecomentrio">
    <w:name w:val="annotation text"/>
    <w:basedOn w:val="Normal"/>
    <w:link w:val="TextodecomentrioChar"/>
    <w:uiPriority w:val="99"/>
    <w:semiHidden w:val="1"/>
    <w:unhideWhenUsed w:val="1"/>
    <w:rsid w:val="00D46F43"/>
    <w:rPr>
      <w:sz w:val="20"/>
      <w:szCs w:val="20"/>
    </w:rPr>
  </w:style>
  <w:style w:type="character" w:styleId="TextodecomentrioChar" w:customStyle="1">
    <w:name w:val="Texto de comentário Char"/>
    <w:basedOn w:val="Fontepargpadro"/>
    <w:link w:val="Textodecomentrio"/>
    <w:uiPriority w:val="99"/>
    <w:semiHidden w:val="1"/>
    <w:rsid w:val="00D46F43"/>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D46F43"/>
    <w:rPr>
      <w:b w:val="1"/>
      <w:bCs w:val="1"/>
    </w:rPr>
  </w:style>
  <w:style w:type="character" w:styleId="AssuntodocomentrioChar" w:customStyle="1">
    <w:name w:val="Assunto do comentário Char"/>
    <w:basedOn w:val="TextodecomentrioChar"/>
    <w:link w:val="Assuntodocomentrio"/>
    <w:uiPriority w:val="99"/>
    <w:semiHidden w:val="1"/>
    <w:rsid w:val="00D46F43"/>
    <w:rPr>
      <w:b w:val="1"/>
      <w:bCs w:val="1"/>
      <w:sz w:val="20"/>
      <w:szCs w:val="20"/>
    </w:rPr>
  </w:style>
  <w:style w:type="paragraph" w:styleId="NormalWeb">
    <w:name w:val="Normal (Web)"/>
    <w:basedOn w:val="Normal"/>
    <w:uiPriority w:val="99"/>
    <w:unhideWhenUsed w:val="1"/>
    <w:rsid w:val="00401A04"/>
    <w:pPr>
      <w:widowControl w:val="1"/>
      <w:spacing w:after="100" w:afterAutospacing="1" w:before="100" w:beforeAutospacing="1"/>
    </w:pPr>
    <w:rPr>
      <w:rFonts w:ascii="Times New Roman" w:cs="Times New Roman" w:eastAsia="Times New Roman" w:hAnsi="Times New Roman"/>
      <w:sz w:val="24"/>
      <w:szCs w:val="24"/>
    </w:rPr>
  </w:style>
  <w:style w:type="character" w:styleId="Hyperlink">
    <w:name w:val="Hyperlink"/>
    <w:basedOn w:val="Fontepargpadro"/>
    <w:uiPriority w:val="99"/>
    <w:semiHidden w:val="1"/>
    <w:unhideWhenUsed w:val="1"/>
    <w:rsid w:val="00401A04"/>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IgudPB/xW7cZGfL2FBYLKf1Og==">CgMxLjA4AHIhMUtmZE85RGdhUVI0cEg5U2lMUE92TmhPU29iTVhsbEFO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2022-06-08T18:51:00Z</dcterms:created>
  <dc:creator>Igor Figueiredo</dc:creator>
</cp:coreProperties>
</file>